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22222"/>
          <w:sz w:val="19"/>
          <w:szCs w:val="19"/>
          <w:highlight w:val="white"/>
          <w:rtl w:val="0"/>
        </w:rPr>
        <w:t xml:space="preserve">Material list for The Stories that Bind 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Bring what you have at home, no need to go and buy supplies.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I’ll bring to class the materials that we will definitely use Including wood canvases.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Paints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Watercolors, gouache, acrylics, oil pastels, colored pencils, 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Assorted </w:t>
      </w: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brushes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, to paint and glue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Assorted </w:t>
      </w: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sponges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to use with paint as a brush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Markers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Sharpies sharp point and thick markers, calligraphy pens and 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Scissors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Brayer,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barren or an old credit card to use as a “press”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Assorted </w:t>
      </w: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Papers,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rice paper, mulberry, rapping tissue with or without texture, any paper that you like or has a meaningful story for you and/or your family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Glue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, PVA, Nori or Mod Podge (I prefer Matte)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Family photos, letters or any flat </w:t>
      </w: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memorabilia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(you can use originals or photocopies) you can include textiles if they are thin and easy to glue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Roll of </w:t>
      </w: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paper towels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Artists Tape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Palette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Sketchbook or notebook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racing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